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1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9600"/>
        <w:gridCol w:w="105"/>
      </w:tblGrid>
      <w:tr w:rsidR="00864086" w:rsidRPr="00864086" w:rsidTr="00864086">
        <w:trPr>
          <w:trHeight w:val="160"/>
          <w:tblCellSpacing w:w="0" w:type="dxa"/>
          <w:jc w:val="center"/>
        </w:trPr>
        <w:tc>
          <w:tcPr>
            <w:tcW w:w="105" w:type="dxa"/>
            <w:vAlign w:val="center"/>
            <w:hideMark/>
          </w:tcPr>
          <w:p w:rsidR="00864086" w:rsidRPr="00864086" w:rsidRDefault="00864086" w:rsidP="00864086"/>
        </w:tc>
        <w:tc>
          <w:tcPr>
            <w:tcW w:w="0" w:type="auto"/>
            <w:vAlign w:val="bottom"/>
            <w:hideMark/>
          </w:tcPr>
          <w:p w:rsidR="00864086" w:rsidRPr="00864086" w:rsidRDefault="00864086" w:rsidP="00864086">
            <w:r w:rsidRPr="00864086">
              <w:drawing>
                <wp:inline distT="0" distB="0" distL="0" distR="0">
                  <wp:extent cx="1289050" cy="152400"/>
                  <wp:effectExtent l="0" t="0" r="6350" b="0"/>
                  <wp:docPr id="29" name="Grafik 29" descr="https://www.news-al-h.de/public/a_15036_DBj8v/webspace/templates/al_news_to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news-al-h.de/public/a_15036_DBj8v/webspace/templates/al_news_to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81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9600"/>
        <w:gridCol w:w="105"/>
      </w:tblGrid>
      <w:tr w:rsidR="00864086" w:rsidRPr="00864086" w:rsidTr="00864086">
        <w:trPr>
          <w:tblCellSpacing w:w="0" w:type="dxa"/>
          <w:jc w:val="center"/>
        </w:trPr>
        <w:tc>
          <w:tcPr>
            <w:tcW w:w="105" w:type="dxa"/>
            <w:hideMark/>
          </w:tcPr>
          <w:p w:rsidR="00864086" w:rsidRPr="00864086" w:rsidRDefault="00864086" w:rsidP="00864086">
            <w:r w:rsidRPr="00864086">
              <w:drawing>
                <wp:inline distT="0" distB="0" distL="0" distR="0">
                  <wp:extent cx="63500" cy="781050"/>
                  <wp:effectExtent l="0" t="0" r="0" b="0"/>
                  <wp:docPr id="28" name="Grafik 28" descr="https://www.news-al-h.de/public/a_15036_DBj8v/webspace/templates/al_news_lef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news-al-h.de/public/a_15036_DBj8v/webspace/templates/al_news_lef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shd w:val="clear" w:color="auto" w:fill="DCEE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40"/>
              <w:gridCol w:w="7560"/>
            </w:tblGrid>
            <w:tr w:rsidR="00864086" w:rsidRPr="00864086">
              <w:trPr>
                <w:tblCellSpacing w:w="0" w:type="dxa"/>
              </w:trPr>
              <w:tc>
                <w:tcPr>
                  <w:tcW w:w="2025" w:type="dxa"/>
                  <w:shd w:val="clear" w:color="auto" w:fill="DCEEF8"/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1289050" cy="781050"/>
                        <wp:effectExtent l="0" t="0" r="6350" b="0"/>
                        <wp:docPr id="27" name="Grafik 27" descr="https://www.news-al-h.de/public/a_15036_DBj8v/webspace/templates/al_new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www.news-al-h.de/public/a_15036_DBj8v/webspace/templates/al_new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9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DCEEF8"/>
                  <w:hideMark/>
                </w:tcPr>
                <w:tbl>
                  <w:tblPr>
                    <w:tblW w:w="3000" w:type="dxa"/>
                    <w:jc w:val="right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0"/>
                    <w:gridCol w:w="2700"/>
                    <w:gridCol w:w="150"/>
                  </w:tblGrid>
                  <w:tr w:rsidR="00864086" w:rsidRPr="00864086">
                    <w:trPr>
                      <w:tblCellSpacing w:w="0" w:type="dxa"/>
                      <w:jc w:val="right"/>
                    </w:trPr>
                    <w:tc>
                      <w:tcPr>
                        <w:tcW w:w="150" w:type="dxa"/>
                        <w:shd w:val="clear" w:color="auto" w:fill="FFFFFF"/>
                        <w:vAlign w:val="center"/>
                        <w:hideMark/>
                      </w:tcPr>
                      <w:p w:rsidR="00864086" w:rsidRPr="00864086" w:rsidRDefault="00864086" w:rsidP="00864086">
                        <w:r w:rsidRPr="00864086"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p w:rsidR="00864086" w:rsidRPr="00864086" w:rsidRDefault="00864086" w:rsidP="00864086">
                        <w:r w:rsidRPr="00864086">
                          <w:drawing>
                            <wp:inline distT="0" distB="0" distL="0" distR="0">
                              <wp:extent cx="1619250" cy="704850"/>
                              <wp:effectExtent l="0" t="0" r="0" b="0"/>
                              <wp:docPr id="26" name="Grafik 26" descr="ALTE LEIPZIGER">
                                <a:hlinkClick xmlns:a="http://schemas.openxmlformats.org/drawingml/2006/main" r:id="rId11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ALTE LEIPZIGER">
                                        <a:hlinkClick r:id="rId11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9250" cy="704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50" w:type="dxa"/>
                        <w:shd w:val="clear" w:color="auto" w:fill="FFFFFF"/>
                        <w:vAlign w:val="center"/>
                        <w:hideMark/>
                      </w:tcPr>
                      <w:p w:rsidR="00864086" w:rsidRPr="00864086" w:rsidRDefault="00864086" w:rsidP="00864086">
                        <w:r w:rsidRPr="00864086">
                          <w:t> </w:t>
                        </w:r>
                      </w:p>
                    </w:tc>
                  </w:tr>
                </w:tbl>
                <w:p w:rsidR="00864086" w:rsidRPr="00864086" w:rsidRDefault="00864086" w:rsidP="00864086"/>
              </w:tc>
            </w:tr>
          </w:tbl>
          <w:p w:rsidR="00864086" w:rsidRPr="00864086" w:rsidRDefault="00864086" w:rsidP="00864086"/>
        </w:tc>
        <w:tc>
          <w:tcPr>
            <w:tcW w:w="105" w:type="dxa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60"/>
        <w:gridCol w:w="7440"/>
      </w:tblGrid>
      <w:tr w:rsidR="00864086" w:rsidRPr="00864086" w:rsidTr="00864086">
        <w:trPr>
          <w:trHeight w:val="100"/>
          <w:tblCellSpacing w:w="0" w:type="dxa"/>
          <w:jc w:val="center"/>
        </w:trPr>
        <w:tc>
          <w:tcPr>
            <w:tcW w:w="2100" w:type="dxa"/>
            <w:shd w:val="clear" w:color="auto" w:fill="E23E21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60" w:type="dxa"/>
            <w:shd w:val="clear" w:color="auto" w:fill="E1F0F9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B11A3B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  <w:bookmarkStart w:id="0" w:name="index-37"/>
      <w:bookmarkEnd w:id="0"/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64086" w:rsidRPr="00864086" w:rsidRDefault="00864086" w:rsidP="00864086">
            <w:pPr>
              <w:rPr>
                <w:b/>
                <w:bCs/>
              </w:rPr>
            </w:pPr>
            <w:r w:rsidRPr="00864086">
              <w:rPr>
                <w:b/>
                <w:bCs/>
              </w:rPr>
              <w:t>Neuer Kfz-Tarif ab 01.10.2020</w:t>
            </w:r>
          </w:p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  <w:bookmarkStart w:id="1" w:name="index-38"/>
      <w:bookmarkEnd w:id="1"/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Die Corona-Pandemie bremst uns nicht aus! Wir optimieren stetig unsere Kfz-Versicherungsprodukte. Mit erweitertem Versicherungsschutz und besseren Leistungen für Elektrofahrzeuge begleiten wir die steigende Elektromobilität. Auch die Kfz-Tarife für Motorräder wurden dieses Jahr neu kalkuliert, inklusive Einführung neuer Tarifierungsmerkmale. Eine gleichzeitige Verbesserung der digitalen Prozesse ist beispielsweise beim Bestandsrechner ebenfalls inbegriffen.</w:t>
            </w:r>
          </w:p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850"/>
        <w:gridCol w:w="300"/>
      </w:tblGrid>
      <w:tr w:rsidR="00864086" w:rsidRPr="00864086" w:rsidTr="00864086">
        <w:trPr>
          <w:trHeight w:val="100"/>
          <w:tblCellSpacing w:w="0" w:type="dxa"/>
          <w:jc w:val="center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  <w:tr w:rsidR="00864086" w:rsidRPr="00864086" w:rsidTr="00864086">
        <w:trPr>
          <w:trHeight w:val="10"/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E6F8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  <w:bookmarkStart w:id="2" w:name="index-40"/>
      <w:bookmarkEnd w:id="2"/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rPr>
                <w:b/>
                <w:bCs/>
              </w:rPr>
              <w:t>Was ist NEU?</w:t>
            </w:r>
          </w:p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0"/>
              <w:gridCol w:w="8320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25" name="Grafik 25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rPr>
                      <w:b/>
                      <w:bCs/>
                    </w:rPr>
                    <w:t>Akku-Ausschluss für Krafträder und Lieferwagen</w:t>
                  </w:r>
                  <w:r w:rsidRPr="00864086">
                    <w:br/>
                    <w:t>Der Deckungsausschluss »Akku-Ausschluss« kann zukünftig auch bei Motorrädern (WKZ 003) und Lkw bis 3,5 t Gesamtgewicht (WKZ 251, 261) mit Elektromotor oder mit Plug-in-Hybrid-Antrieb vereinbart werden. Mit Akku-Ausschluss wird der Antriebsakkumulator des Elektro- bzw. Hybridfahrzeugs vom Versicherungsschutz ausgeschlossen. Hierfür erhält der Versicherungsnehmer einen Prämiennachlass in der Kaskoversicherung.</w:t>
                  </w:r>
                </w:p>
              </w:tc>
            </w:tr>
          </w:tbl>
          <w:p w:rsidR="00864086" w:rsidRPr="00864086" w:rsidRDefault="00864086" w:rsidP="00864086"/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0"/>
              <w:gridCol w:w="8320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24" name="Grafik 24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rPr>
                      <w:b/>
                      <w:bCs/>
                    </w:rPr>
                    <w:t>Elektro-Plus für Krafträder und Lieferwagen</w:t>
                  </w:r>
                  <w:r w:rsidRPr="00864086">
                    <w:br/>
                    <w:t>Die optionale Deckungserweiterung »Elektro-Plus« steht nun auch bei Motorrädern (WKZ 003) und Lkw bis 3,5 t Gesamtgewicht (WKZ 251, 261) mit Elektromotor oder Hybrid-Antrieb zur Auswahl. Mit Elektro-Plus erweitert der Versicherungsnehmer gegen Mehrprämie in der Vollkaskoversicherung seinen Versicherungsschutz für den Antriebsakkumulator beispielsweise mit einer Allgefahrendeckung.</w:t>
                  </w:r>
                </w:p>
              </w:tc>
            </w:tr>
          </w:tbl>
          <w:p w:rsidR="00864086" w:rsidRPr="00864086" w:rsidRDefault="00864086" w:rsidP="00864086"/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0"/>
              <w:gridCol w:w="8320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23" name="Grafik 23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rPr>
                      <w:b/>
                      <w:bCs/>
                    </w:rPr>
                    <w:t>Elektro-Plus</w:t>
                  </w:r>
                  <w:r w:rsidRPr="00864086">
                    <w:br/>
                    <w:t>In der Deckungserweiterung »Elektro-Plus« für Elektro- und Hybridfahrzeuge versichern wir ab Oktober 2020 mehr Risiken und höhere Leistungen in der Kaskoversicherung: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864086" w:rsidRPr="00864086">
              <w:trPr>
                <w:trHeight w:val="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80"/>
              <w:gridCol w:w="7945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vAlign w:val="center"/>
                  <w:hideMark/>
                </w:tcPr>
                <w:p w:rsidR="00864086" w:rsidRPr="00864086" w:rsidRDefault="00864086" w:rsidP="00864086"/>
              </w:tc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22" name="Grafik 22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Folgeschäden durch Kurzschluss an Hochvoltkabeln sind bis 5.000 € (classic-Tarif) bzw. bis 7.500 € (</w:t>
                  </w:r>
                  <w:proofErr w:type="spellStart"/>
                  <w:r w:rsidRPr="00864086">
                    <w:t>comfort</w:t>
                  </w:r>
                  <w:proofErr w:type="spellEnd"/>
                  <w:r w:rsidRPr="00864086">
                    <w:t>-Tarif) versichert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864086" w:rsidRPr="00864086">
              <w:trPr>
                <w:trHeight w:val="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80"/>
              <w:gridCol w:w="7945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vAlign w:val="center"/>
                  <w:hideMark/>
                </w:tcPr>
                <w:p w:rsidR="00864086" w:rsidRPr="00864086" w:rsidRDefault="00864086" w:rsidP="00864086"/>
              </w:tc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21" name="Grafik 21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 xml:space="preserve">Folgeschäden durch </w:t>
                  </w:r>
                  <w:proofErr w:type="spellStart"/>
                  <w:r w:rsidRPr="00864086">
                    <w:t>Tierbiss</w:t>
                  </w:r>
                  <w:proofErr w:type="spellEnd"/>
                  <w:r w:rsidRPr="00864086">
                    <w:t xml:space="preserve"> an Hochvoltkabeln sind bis 5.000 € (classic-Tarif) bzw. bis 7.500 € (</w:t>
                  </w:r>
                  <w:proofErr w:type="spellStart"/>
                  <w:r w:rsidRPr="00864086">
                    <w:t>comfort</w:t>
                  </w:r>
                  <w:proofErr w:type="spellEnd"/>
                  <w:r w:rsidRPr="00864086">
                    <w:t>-Tarif) versichert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864086" w:rsidRPr="00864086">
              <w:trPr>
                <w:trHeight w:val="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80"/>
              <w:gridCol w:w="7945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vAlign w:val="center"/>
                  <w:hideMark/>
                </w:tcPr>
                <w:p w:rsidR="00864086" w:rsidRPr="00864086" w:rsidRDefault="00864086" w:rsidP="00864086"/>
              </w:tc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20" name="Grafik 20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Kostenersatz für Entsorgung eines beschädigten Antriebsakkumulators bis 1.000 € (classic-Tarif) bzw. bis 2.000 € (</w:t>
                  </w:r>
                  <w:proofErr w:type="spellStart"/>
                  <w:r w:rsidRPr="00864086">
                    <w:t>comfort</w:t>
                  </w:r>
                  <w:proofErr w:type="spellEnd"/>
                  <w:r w:rsidRPr="00864086">
                    <w:t>-Tarif)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864086" w:rsidRPr="00864086">
              <w:trPr>
                <w:trHeight w:val="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80"/>
              <w:gridCol w:w="7945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vAlign w:val="center"/>
                  <w:hideMark/>
                </w:tcPr>
                <w:p w:rsidR="00864086" w:rsidRPr="00864086" w:rsidRDefault="00864086" w:rsidP="00864086"/>
              </w:tc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19" name="Grafik 19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Schäden bei Überspannung durch Blitzschlag sind bis 7.500 € (</w:t>
                  </w:r>
                  <w:proofErr w:type="spellStart"/>
                  <w:r w:rsidRPr="00864086">
                    <w:t>comfort</w:t>
                  </w:r>
                  <w:proofErr w:type="spellEnd"/>
                  <w:r w:rsidRPr="00864086">
                    <w:t>-Tarif) versichert</w:t>
                  </w:r>
                </w:p>
              </w:tc>
            </w:tr>
          </w:tbl>
          <w:p w:rsidR="00864086" w:rsidRPr="00864086" w:rsidRDefault="00864086" w:rsidP="00864086"/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lastRenderedPageBreak/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0"/>
              <w:gridCol w:w="8320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18" name="Grafik 18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rPr>
                      <w:b/>
                      <w:bCs/>
                    </w:rPr>
                    <w:t>GAP-Deckung für Lkw, Zugmaschinen und Anhänger im Einzel- und Fuhrparktarif</w:t>
                  </w:r>
                  <w:r w:rsidRPr="00864086">
                    <w:br/>
                    <w:t xml:space="preserve">Den Baustein »GAP-Deckung« bieten wir im neuen Kfz-Tarif in der Kaskoversicherung gegen Mehrprämie auch für Lkw über 3,5 t Gesamtgewicht (WKZ 351, 361), Zugmaschinen (WKZ 401, 411) sowie für Anhänger (WKZ 581, 591) jeweils im Werk-/Privat- und gewerblichen Güterverkehr an. </w:t>
                  </w:r>
                </w:p>
              </w:tc>
            </w:tr>
          </w:tbl>
          <w:p w:rsidR="00864086" w:rsidRPr="00864086" w:rsidRDefault="00864086" w:rsidP="00864086"/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0"/>
              <w:gridCol w:w="8320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17" name="Grafik 17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rPr>
                      <w:b/>
                      <w:bCs/>
                    </w:rPr>
                    <w:t>Neukalkulation des Kfz-Tarifs für Krafträder</w:t>
                  </w:r>
                  <w:r w:rsidRPr="00864086">
                    <w:br/>
                    <w:t>Den Tarif für Motorräder (WKZ 003) überarbeiten wir komplett. Mit einer Neukalkulation führen wir neue Tarifierungsmerkmale ein: Zahlungsweg, Leergewicht des Motorrads und Führerscheinerwerbsdatum vom Versicherungsnehmer sind zukünftig prämienrelevante Tarifierungsmerkmale. Im selben Zuge passen wir die Prämiensätze der Schadenfreiheitsrabatt-Staffel für Motorräder an.</w:t>
                  </w:r>
                </w:p>
              </w:tc>
            </w:tr>
          </w:tbl>
          <w:p w:rsidR="00864086" w:rsidRPr="00864086" w:rsidRDefault="00864086" w:rsidP="00864086"/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0"/>
              <w:gridCol w:w="8320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16" name="Grafik 16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rPr>
                      <w:b/>
                      <w:bCs/>
                    </w:rPr>
                    <w:t>Änderungen an den AKB</w:t>
                  </w:r>
                  <w:r w:rsidRPr="00864086">
                    <w:br/>
                    <w:t>Gemäß einer aktualisierten GDV-Empfehlung optimieren wir unsere Bedingungen. Zusätzlich nehmen wir folgende Verbesserungen vor: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864086" w:rsidRPr="00864086">
              <w:trPr>
                <w:trHeight w:val="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80"/>
              <w:gridCol w:w="7945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vAlign w:val="center"/>
                  <w:hideMark/>
                </w:tcPr>
                <w:p w:rsidR="00864086" w:rsidRPr="00864086" w:rsidRDefault="00864086" w:rsidP="00864086"/>
              </w:tc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15" name="Grafik 15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Verzicht auf Abzug neu für alt in der Kaskoversicherung im classic-Tarif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864086" w:rsidRPr="00864086">
              <w:trPr>
                <w:trHeight w:val="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80"/>
              <w:gridCol w:w="7945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vAlign w:val="center"/>
                  <w:hideMark/>
                </w:tcPr>
                <w:p w:rsidR="00864086" w:rsidRPr="00864086" w:rsidRDefault="00864086" w:rsidP="00864086"/>
              </w:tc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14" name="Grafik 14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 xml:space="preserve">Mitversicherung von Erdfall bzw. Erdsenkung in der Teilkaskoversicherung im </w:t>
                  </w:r>
                  <w:proofErr w:type="spellStart"/>
                  <w:r w:rsidRPr="00864086">
                    <w:t>comfort</w:t>
                  </w:r>
                  <w:proofErr w:type="spellEnd"/>
                  <w:r w:rsidRPr="00864086">
                    <w:t>-Tarif</w:t>
                  </w:r>
                </w:p>
              </w:tc>
            </w:tr>
          </w:tbl>
          <w:p w:rsidR="00864086" w:rsidRPr="00864086" w:rsidRDefault="00864086" w:rsidP="00864086"/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850"/>
        <w:gridCol w:w="300"/>
      </w:tblGrid>
      <w:tr w:rsidR="00864086" w:rsidRPr="00864086" w:rsidTr="00864086">
        <w:trPr>
          <w:trHeight w:val="100"/>
          <w:tblCellSpacing w:w="0" w:type="dxa"/>
          <w:jc w:val="center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  <w:tr w:rsidR="00864086" w:rsidRPr="00864086" w:rsidTr="00864086">
        <w:trPr>
          <w:trHeight w:val="10"/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E6F8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  <w:bookmarkStart w:id="3" w:name="index-60"/>
      <w:bookmarkEnd w:id="3"/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rPr>
                <w:b/>
                <w:bCs/>
              </w:rPr>
              <w:t>Angebotsprogramme</w:t>
            </w:r>
          </w:p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0"/>
              <w:gridCol w:w="8320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13" name="Grafik 13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rPr>
                      <w:b/>
                      <w:bCs/>
                    </w:rPr>
                    <w:t xml:space="preserve">E@SY Web Sach </w:t>
                  </w:r>
                  <w:r w:rsidRPr="00864086">
                    <w:br/>
                    <w:t xml:space="preserve">Im E@SY Web Sach wird bereits ab 14.09.2020 der neue Kfz-Tarif für Berechnungen mit Versicherungsbeginn ab 01.10.2020 zur Verfügung stehen. Parallel wird die Möglichkeit zur Berechnung einer Sonderausstattung in E@SY Web ermöglicht. </w:t>
                  </w:r>
                </w:p>
              </w:tc>
            </w:tr>
          </w:tbl>
          <w:p w:rsidR="00864086" w:rsidRPr="00864086" w:rsidRDefault="00864086" w:rsidP="00864086"/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0"/>
              <w:gridCol w:w="8320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12" name="Grafik 12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rPr>
                      <w:b/>
                      <w:bCs/>
                    </w:rPr>
                    <w:t>Bestandsrechner Kfz – Nutzen Sie dieses Tool für eine effiziente Umstellung Ihres Bestands!</w:t>
                  </w:r>
                  <w:r w:rsidRPr="00864086">
                    <w:br/>
                    <w:t>Der Kfz-Bestandsrechner wird als Tool so weiterentwickelt, dass ab 14.09.2020 folgende Änderungen an Bestandsverträgen schnell berechnet und vorgenommen werden können: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864086" w:rsidRPr="00864086">
              <w:trPr>
                <w:trHeight w:val="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80"/>
              <w:gridCol w:w="7945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vAlign w:val="center"/>
                  <w:hideMark/>
                </w:tcPr>
                <w:p w:rsidR="00864086" w:rsidRPr="00864086" w:rsidRDefault="00864086" w:rsidP="00864086"/>
              </w:tc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11" name="Grafik 11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Änderung von Schadenfreiheitsklassen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864086" w:rsidRPr="00864086">
              <w:trPr>
                <w:trHeight w:val="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lastRenderedPageBreak/>
                    <w:t> 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80"/>
              <w:gridCol w:w="7945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vAlign w:val="center"/>
                  <w:hideMark/>
                </w:tcPr>
                <w:p w:rsidR="00864086" w:rsidRPr="00864086" w:rsidRDefault="00864086" w:rsidP="00864086"/>
              </w:tc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10" name="Grafik 10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Wechsel der Tarifgruppe innerhalb des Einzel- oder Fuhrparktarifs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864086" w:rsidRPr="00864086">
              <w:trPr>
                <w:trHeight w:val="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80"/>
              <w:gridCol w:w="7945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vAlign w:val="center"/>
                  <w:hideMark/>
                </w:tcPr>
                <w:p w:rsidR="00864086" w:rsidRPr="00864086" w:rsidRDefault="00864086" w:rsidP="00864086"/>
              </w:tc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9" name="Grafik 9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 xml:space="preserve">Änderung der Tarifvariante z. B. ein Upgrade vom classic- auf den </w:t>
                  </w:r>
                  <w:proofErr w:type="spellStart"/>
                  <w:r w:rsidRPr="00864086">
                    <w:t>comfort</w:t>
                  </w:r>
                  <w:proofErr w:type="spellEnd"/>
                  <w:r w:rsidRPr="00864086">
                    <w:t>-Tarif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864086" w:rsidRPr="00864086">
              <w:trPr>
                <w:trHeight w:val="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80"/>
              <w:gridCol w:w="7945"/>
            </w:tblGrid>
            <w:tr w:rsidR="00864086" w:rsidRPr="00864086">
              <w:trPr>
                <w:tblCellSpacing w:w="0" w:type="dxa"/>
              </w:trPr>
              <w:tc>
                <w:tcPr>
                  <w:tcW w:w="375" w:type="dxa"/>
                  <w:vAlign w:val="center"/>
                  <w:hideMark/>
                </w:tcPr>
                <w:p w:rsidR="00864086" w:rsidRPr="00864086" w:rsidRDefault="00864086" w:rsidP="00864086"/>
              </w:tc>
              <w:tc>
                <w:tcPr>
                  <w:tcW w:w="375" w:type="dxa"/>
                  <w:tcMar>
                    <w:top w:w="9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41300" cy="76200"/>
                        <wp:effectExtent l="0" t="0" r="0" b="0"/>
                        <wp:docPr id="8" name="Grafik 8" descr="»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»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Wechsel auf Saisonkennzeichen oder umgekehrt sowie Anpassung des Saisonzeitraums</w:t>
                  </w:r>
                </w:p>
              </w:tc>
            </w:tr>
          </w:tbl>
          <w:p w:rsidR="00864086" w:rsidRPr="00864086" w:rsidRDefault="00864086" w:rsidP="00864086"/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lastRenderedPageBreak/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  <w:bookmarkStart w:id="4" w:name="index-69"/>
      <w:bookmarkEnd w:id="4"/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Darüber hinaus haben Sie ab 14.09. die Möglichkeit, die Daten aus dem Bestandsrechner per Knopfdruck nach E@SY Web zu übertragen, um eine Tarifumstellung schnell und unkompliziert durchführen zu können.</w:t>
            </w:r>
            <w:r w:rsidRPr="00864086">
              <w:br/>
            </w:r>
            <w:r w:rsidRPr="00864086">
              <w:br/>
              <w:t xml:space="preserve">Alle aktualisierten Tarife, Leistungsübersichten und Druckstücke finden Sie in unserem </w:t>
            </w:r>
            <w:hyperlink r:id="rId15" w:tgtFrame="_blank" w:history="1">
              <w:r w:rsidRPr="00864086">
                <w:rPr>
                  <w:rStyle w:val="Hyperlink"/>
                </w:rPr>
                <w:t>Vermittlerportal</w:t>
              </w:r>
            </w:hyperlink>
            <w:r w:rsidRPr="00864086">
              <w:t>.</w:t>
            </w:r>
          </w:p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drawing>
                <wp:inline distT="0" distB="0" distL="0" distR="0">
                  <wp:extent cx="6096000" cy="425450"/>
                  <wp:effectExtent l="0" t="0" r="0" b="0"/>
                  <wp:docPr id="7" name="Grafik 7" descr="https://www.news-al-h.de/public/a_15036_DBj8v/webspace/templates/trenner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www.news-al-h.de/public/a_15036_DBj8v/webspace/templates/trenner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20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  <w:bookmarkStart w:id="5" w:name="index-71"/>
      <w:bookmarkEnd w:id="5"/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ALTE LEIPZIGER Versicherung AG</w:t>
            </w:r>
            <w:r w:rsidRPr="00864086">
              <w:br/>
              <w:t>Die Sachversicherung im ALTE LEIPZIGER – HALLESCHE Konzern</w:t>
            </w:r>
            <w:r w:rsidRPr="00864086">
              <w:br/>
            </w:r>
            <w:r w:rsidRPr="00864086">
              <w:br/>
              <w:t xml:space="preserve">Vors. des Aufsichtsrats: Christoph Bohn · Vorstand: Kai Waldmann, Sven Waldschmidt </w:t>
            </w:r>
            <w:r w:rsidRPr="00864086">
              <w:br/>
              <w:t>Sitz Oberursel (Taunus) · Rechtsform Aktiengesellschaft · Amtsgericht Bad Homburg v. d. H. HRB 1585</w:t>
            </w:r>
            <w:r w:rsidRPr="00864086">
              <w:br/>
            </w:r>
            <w:proofErr w:type="spellStart"/>
            <w:r w:rsidRPr="00864086">
              <w:t>USt</w:t>
            </w:r>
            <w:proofErr w:type="spellEnd"/>
            <w:r w:rsidRPr="00864086">
              <w:t>.-</w:t>
            </w:r>
            <w:proofErr w:type="spellStart"/>
            <w:r w:rsidRPr="00864086">
              <w:t>Id.Nr</w:t>
            </w:r>
            <w:proofErr w:type="spellEnd"/>
            <w:r w:rsidRPr="00864086">
              <w:t>. DE 811189884 · St.-Nr. 807/V90807004611 (</w:t>
            </w:r>
            <w:proofErr w:type="spellStart"/>
            <w:r w:rsidRPr="00864086">
              <w:t>VersStG</w:t>
            </w:r>
            <w:proofErr w:type="spellEnd"/>
            <w:r w:rsidRPr="00864086">
              <w:t>)</w:t>
            </w:r>
          </w:p>
        </w:tc>
        <w:tc>
          <w:tcPr>
            <w:tcW w:w="450" w:type="dxa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864086" w:rsidRPr="00864086" w:rsidTr="00864086">
        <w:trPr>
          <w:trHeight w:val="34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60"/>
        <w:gridCol w:w="7440"/>
      </w:tblGrid>
      <w:tr w:rsidR="00864086" w:rsidRPr="00864086" w:rsidTr="00864086">
        <w:trPr>
          <w:trHeight w:val="100"/>
          <w:tblCellSpacing w:w="0" w:type="dxa"/>
          <w:jc w:val="center"/>
        </w:trPr>
        <w:tc>
          <w:tcPr>
            <w:tcW w:w="2100" w:type="dxa"/>
            <w:shd w:val="clear" w:color="auto" w:fill="E23E21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60" w:type="dxa"/>
            <w:shd w:val="clear" w:color="auto" w:fill="E1F0F9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B11A3B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600" w:type="dxa"/>
        <w:jc w:val="center"/>
        <w:tblCellSpacing w:w="0" w:type="dxa"/>
        <w:shd w:val="clear" w:color="auto" w:fill="E4F1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700"/>
        <w:gridCol w:w="450"/>
      </w:tblGrid>
      <w:tr w:rsidR="00864086" w:rsidRPr="00864086" w:rsidTr="00864086">
        <w:trPr>
          <w:tblCellSpacing w:w="0" w:type="dxa"/>
          <w:jc w:val="center"/>
        </w:trPr>
        <w:tc>
          <w:tcPr>
            <w:tcW w:w="450" w:type="dxa"/>
            <w:shd w:val="clear" w:color="auto" w:fill="E4F1F9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  <w:tc>
          <w:tcPr>
            <w:tcW w:w="0" w:type="auto"/>
            <w:shd w:val="clear" w:color="auto" w:fill="E4F1F9"/>
            <w:tcMar>
              <w:top w:w="300" w:type="dxa"/>
              <w:left w:w="0" w:type="dxa"/>
              <w:bottom w:w="300" w:type="dxa"/>
              <w:right w:w="0" w:type="dxa"/>
            </w:tcMar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150"/>
              <w:gridCol w:w="450"/>
              <w:gridCol w:w="150"/>
              <w:gridCol w:w="450"/>
              <w:gridCol w:w="150"/>
              <w:gridCol w:w="450"/>
              <w:gridCol w:w="150"/>
              <w:gridCol w:w="450"/>
              <w:gridCol w:w="150"/>
              <w:gridCol w:w="450"/>
            </w:tblGrid>
            <w:tr w:rsidR="00864086" w:rsidRPr="0086408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85750" cy="285750"/>
                        <wp:effectExtent l="0" t="0" r="0" b="0"/>
                        <wp:docPr id="6" name="Grafik 6" descr="f">
                          <a:hlinkClick xmlns:a="http://schemas.openxmlformats.org/drawingml/2006/main" r:id="rId17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f">
                                  <a:hlinkClick r:id="rId17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85750" cy="285750"/>
                        <wp:effectExtent l="0" t="0" r="0" b="0"/>
                        <wp:docPr id="5" name="Grafik 5" descr="insta">
                          <a:hlinkClick xmlns:a="http://schemas.openxmlformats.org/drawingml/2006/main" r:id="rId19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insta">
                                  <a:hlinkClick r:id="rId19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85750" cy="285750"/>
                        <wp:effectExtent l="0" t="0" r="0" b="0"/>
                        <wp:docPr id="4" name="Grafik 4" descr="y">
                          <a:hlinkClick xmlns:a="http://schemas.openxmlformats.org/drawingml/2006/main" r:id="rId21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y">
                                  <a:hlinkClick r:id="rId21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85750" cy="285750"/>
                        <wp:effectExtent l="0" t="0" r="0" b="0"/>
                        <wp:docPr id="3" name="Grafik 3" descr="t">
                          <a:hlinkClick xmlns:a="http://schemas.openxmlformats.org/drawingml/2006/main" r:id="rId23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t">
                                  <a:hlinkClick r:id="rId23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85750" cy="285750"/>
                        <wp:effectExtent l="0" t="0" r="0" b="0"/>
                        <wp:docPr id="2" name="Grafik 2" descr="x">
                          <a:hlinkClick xmlns:a="http://schemas.openxmlformats.org/drawingml/2006/main" r:id="rId2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x">
                                  <a:hlinkClick r:id="rId2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drawing>
                      <wp:inline distT="0" distB="0" distL="0" distR="0">
                        <wp:extent cx="285750" cy="285750"/>
                        <wp:effectExtent l="0" t="0" r="0" b="0"/>
                        <wp:docPr id="1" name="Grafik 1" descr="in">
                          <a:hlinkClick xmlns:a="http://schemas.openxmlformats.org/drawingml/2006/main" r:id="rId27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in">
                                  <a:hlinkClick r:id="rId27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64086" w:rsidRPr="00864086" w:rsidRDefault="00864086" w:rsidP="00864086">
            <w:pPr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864086" w:rsidRPr="00864086">
              <w:trPr>
                <w:trHeight w:val="20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4086" w:rsidRPr="00864086" w:rsidRDefault="00864086" w:rsidP="00864086">
                  <w:r w:rsidRPr="00864086">
                    <w:t> </w:t>
                  </w:r>
                </w:p>
              </w:tc>
            </w:tr>
          </w:tbl>
          <w:p w:rsidR="00864086" w:rsidRPr="00864086" w:rsidRDefault="00864086" w:rsidP="00864086">
            <w:r w:rsidRPr="00864086">
              <w:t>Dies ist eine Versand-Adresse. Die Antwort auf diese E-Mail wird nicht gelesen.</w:t>
            </w:r>
            <w:r w:rsidRPr="00864086">
              <w:br/>
            </w:r>
            <w:r w:rsidRPr="00864086">
              <w:br/>
              <w:t>Verantwortlicher im Sinne des § 55 Abs. 2 des Staatsvertrags für Rundfunk und Telemedien (Rundfunkstaatsvertrag-RStV): Andreas Bernhardt, Alte Leipziger-Platz 1, 61440 Oberursel</w:t>
            </w:r>
            <w:r w:rsidRPr="00864086">
              <w:br/>
              <w:t>Tel. 06171 6600 | Fax 06171 24434</w:t>
            </w:r>
            <w:r w:rsidRPr="00864086">
              <w:br/>
            </w:r>
            <w:hyperlink r:id="rId29" w:tgtFrame="_blank" w:history="1">
              <w:r w:rsidRPr="00864086">
                <w:rPr>
                  <w:rStyle w:val="Hyperlink"/>
                </w:rPr>
                <w:t>alte-leipziger.de</w:t>
              </w:r>
            </w:hyperlink>
            <w:r w:rsidRPr="00864086">
              <w:t xml:space="preserve"> | </w:t>
            </w:r>
            <w:hyperlink r:id="rId30" w:tgtFrame="_blank" w:history="1">
              <w:r w:rsidRPr="00864086">
                <w:rPr>
                  <w:rStyle w:val="Hyperlink"/>
                </w:rPr>
                <w:t>service@alte-leipziger.de</w:t>
              </w:r>
            </w:hyperlink>
            <w:r w:rsidRPr="00864086">
              <w:t xml:space="preserve"> | </w:t>
            </w:r>
            <w:hyperlink r:id="rId31" w:tgtFrame="_blank" w:history="1">
              <w:r w:rsidRPr="00864086">
                <w:rPr>
                  <w:rStyle w:val="Hyperlink"/>
                </w:rPr>
                <w:t>hallesche.de</w:t>
              </w:r>
            </w:hyperlink>
            <w:r w:rsidRPr="00864086">
              <w:t xml:space="preserve"> | </w:t>
            </w:r>
            <w:hyperlink r:id="rId32" w:tgtFrame="_blank" w:history="1">
              <w:r w:rsidRPr="00864086">
                <w:rPr>
                  <w:rStyle w:val="Hyperlink"/>
                </w:rPr>
                <w:t>service@hallesche.de</w:t>
              </w:r>
            </w:hyperlink>
            <w:r w:rsidRPr="00864086">
              <w:t xml:space="preserve"> </w:t>
            </w:r>
            <w:r w:rsidRPr="00864086">
              <w:br/>
            </w:r>
            <w:r w:rsidRPr="00864086">
              <w:br/>
              <w:t xml:space="preserve">Wenn Sie zukünftig keine weiteren Informationen wünschen, können Sie den Newsletter hier </w:t>
            </w:r>
            <w:hyperlink r:id="rId33" w:tgtFrame="_blank" w:history="1">
              <w:r w:rsidRPr="00864086">
                <w:rPr>
                  <w:rStyle w:val="Hyperlink"/>
                </w:rPr>
                <w:t>komplett abbestellen</w:t>
              </w:r>
            </w:hyperlink>
            <w:r w:rsidRPr="00864086">
              <w:t xml:space="preserve">. </w:t>
            </w:r>
          </w:p>
        </w:tc>
        <w:tc>
          <w:tcPr>
            <w:tcW w:w="450" w:type="dxa"/>
            <w:shd w:val="clear" w:color="auto" w:fill="E4F1F9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864086" w:rsidRPr="00864086" w:rsidRDefault="00864086" w:rsidP="00864086">
      <w:pPr>
        <w:rPr>
          <w:vanish/>
        </w:rPr>
      </w:pPr>
    </w:p>
    <w:tbl>
      <w:tblPr>
        <w:tblW w:w="979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95"/>
      </w:tblGrid>
      <w:tr w:rsidR="00864086" w:rsidRPr="00864086" w:rsidTr="00864086">
        <w:trPr>
          <w:trHeight w:val="1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64086" w:rsidRPr="00864086" w:rsidRDefault="00864086" w:rsidP="00864086">
            <w:r w:rsidRPr="00864086">
              <w:t> </w:t>
            </w:r>
          </w:p>
        </w:tc>
      </w:tr>
    </w:tbl>
    <w:p w:rsidR="00B71C6E" w:rsidRPr="00FB6BCE" w:rsidRDefault="00B71C6E" w:rsidP="00FB6BCE">
      <w:bookmarkStart w:id="6" w:name="_GoBack"/>
      <w:bookmarkEnd w:id="6"/>
    </w:p>
    <w:sectPr w:rsidR="00B71C6E" w:rsidRPr="00FB6BCE" w:rsidSect="00190D8C">
      <w:pgSz w:w="11906" w:h="16838"/>
      <w:pgMar w:top="181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086" w:rsidRDefault="00864086" w:rsidP="00874702">
      <w:r>
        <w:separator/>
      </w:r>
    </w:p>
  </w:endnote>
  <w:endnote w:type="continuationSeparator" w:id="0">
    <w:p w:rsidR="00864086" w:rsidRDefault="00864086" w:rsidP="00874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086" w:rsidRDefault="00864086" w:rsidP="00874702">
      <w:r>
        <w:separator/>
      </w:r>
    </w:p>
  </w:footnote>
  <w:footnote w:type="continuationSeparator" w:id="0">
    <w:p w:rsidR="00864086" w:rsidRDefault="00864086" w:rsidP="00874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9CF61054"/>
    <w:lvl w:ilvl="0">
      <w:start w:val="1"/>
      <w:numFmt w:val="bullet"/>
      <w:pStyle w:val="Aufzhlungszeichen4"/>
      <w:lvlText w:val="–"/>
      <w:lvlJc w:val="left"/>
      <w:pPr>
        <w:ind w:left="1209" w:hanging="360"/>
      </w:pPr>
      <w:rPr>
        <w:rFonts w:ascii="Times New Roman" w:hAnsi="Times New Roman" w:cs="Times New Roman" w:hint="default"/>
        <w:color w:val="B11A3B" w:themeColor="accent1"/>
      </w:rPr>
    </w:lvl>
  </w:abstractNum>
  <w:abstractNum w:abstractNumId="1" w15:restartNumberingAfterBreak="0">
    <w:nsid w:val="FFFFFF82"/>
    <w:multiLevelType w:val="singleLevel"/>
    <w:tmpl w:val="FDFA0A94"/>
    <w:lvl w:ilvl="0">
      <w:start w:val="1"/>
      <w:numFmt w:val="bullet"/>
      <w:pStyle w:val="Aufzhlungszeichen3"/>
      <w:lvlText w:val="–"/>
      <w:lvlJc w:val="left"/>
      <w:pPr>
        <w:ind w:left="926" w:hanging="360"/>
      </w:pPr>
      <w:rPr>
        <w:rFonts w:ascii="Times New Roman" w:hAnsi="Times New Roman" w:cs="Times New Roman" w:hint="default"/>
        <w:color w:val="000000" w:themeColor="text1"/>
      </w:rPr>
    </w:lvl>
  </w:abstractNum>
  <w:abstractNum w:abstractNumId="2" w15:restartNumberingAfterBreak="0">
    <w:nsid w:val="FFFFFF83"/>
    <w:multiLevelType w:val="singleLevel"/>
    <w:tmpl w:val="4B8828F4"/>
    <w:lvl w:ilvl="0">
      <w:start w:val="1"/>
      <w:numFmt w:val="bullet"/>
      <w:pStyle w:val="Aufzhlungszeichen2"/>
      <w:lvlText w:val=""/>
      <w:lvlJc w:val="left"/>
      <w:pPr>
        <w:ind w:left="643" w:hanging="360"/>
      </w:pPr>
      <w:rPr>
        <w:rFonts w:ascii="Wingdings" w:hAnsi="Wingdings" w:hint="default"/>
        <w:color w:val="0A3D5A" w:themeColor="text2"/>
      </w:rPr>
    </w:lvl>
  </w:abstractNum>
  <w:abstractNum w:abstractNumId="3" w15:restartNumberingAfterBreak="0">
    <w:nsid w:val="FFFFFF89"/>
    <w:multiLevelType w:val="singleLevel"/>
    <w:tmpl w:val="0698457C"/>
    <w:lvl w:ilvl="0">
      <w:start w:val="1"/>
      <w:numFmt w:val="bullet"/>
      <w:pStyle w:val="Aufzhlungszeichen"/>
      <w:lvlText w:val=""/>
      <w:lvlJc w:val="left"/>
      <w:pPr>
        <w:ind w:left="360" w:hanging="360"/>
      </w:pPr>
      <w:rPr>
        <w:rFonts w:ascii="Wingdings" w:hAnsi="Wingdings" w:hint="default"/>
        <w:color w:val="B11A3B" w:themeColor="accent1"/>
      </w:rPr>
    </w:lvl>
  </w:abstractNum>
  <w:abstractNum w:abstractNumId="4" w15:restartNumberingAfterBreak="0">
    <w:nsid w:val="080432A1"/>
    <w:multiLevelType w:val="multilevel"/>
    <w:tmpl w:val="DD20B25A"/>
    <w:styleLink w:val="Nummerierung-AL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1D774A8"/>
    <w:multiLevelType w:val="multilevel"/>
    <w:tmpl w:val="330CC0D6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99999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18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1134"/>
        </w:tabs>
        <w:ind w:left="1134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"/>
      <w:lvlJc w:val="left"/>
      <w:pPr>
        <w:tabs>
          <w:tab w:val="num" w:pos="3288"/>
        </w:tabs>
        <w:ind w:left="3288" w:hanging="1020"/>
      </w:pPr>
      <w:rPr>
        <w:rFonts w:ascii="Wingdings" w:hAnsi="Wingdings" w:hint="default"/>
        <w:color w:val="C0C0C0"/>
        <w:u w:color="C0C0C0"/>
      </w:rPr>
    </w:lvl>
    <w:lvl w:ilvl="4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6" w15:restartNumberingAfterBreak="0">
    <w:nsid w:val="28962C73"/>
    <w:multiLevelType w:val="multilevel"/>
    <w:tmpl w:val="650E63A8"/>
    <w:numStyleLink w:val="Liste-AL"/>
  </w:abstractNum>
  <w:abstractNum w:abstractNumId="7" w15:restartNumberingAfterBreak="0">
    <w:nsid w:val="2A8C014D"/>
    <w:multiLevelType w:val="multilevel"/>
    <w:tmpl w:val="0E84593E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BF13EF6"/>
    <w:multiLevelType w:val="multilevel"/>
    <w:tmpl w:val="650E63A8"/>
    <w:styleLink w:val="Liste-AL"/>
    <w:lvl w:ilvl="0">
      <w:start w:val="1"/>
      <w:numFmt w:val="bullet"/>
      <w:pStyle w:val="Liste1"/>
      <w:lvlText w:val=""/>
      <w:lvlJc w:val="left"/>
      <w:pPr>
        <w:ind w:left="284" w:hanging="284"/>
      </w:pPr>
      <w:rPr>
        <w:rFonts w:ascii="Wingdings" w:hAnsi="Wingdings" w:hint="default"/>
        <w:color w:val="999999"/>
      </w:rPr>
    </w:lvl>
    <w:lvl w:ilvl="1">
      <w:start w:val="1"/>
      <w:numFmt w:val="bullet"/>
      <w:pStyle w:val="Liste2"/>
      <w:lvlText w:val="–"/>
      <w:lvlJc w:val="left"/>
      <w:pPr>
        <w:ind w:left="568" w:hanging="284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pStyle w:val="Liste3"/>
      <w:lvlText w:val=""/>
      <w:lvlJc w:val="left"/>
      <w:pPr>
        <w:ind w:left="852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Liste4"/>
      <w:lvlText w:val=""/>
      <w:lvlJc w:val="left"/>
      <w:pPr>
        <w:ind w:left="1136" w:hanging="284"/>
      </w:pPr>
      <w:rPr>
        <w:rFonts w:ascii="Wingdings" w:hAnsi="Wingdings" w:hint="default"/>
        <w:color w:val="C0C0C0"/>
        <w:u w:color="C0C0C0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9" w15:restartNumberingAfterBreak="0">
    <w:nsid w:val="5125412A"/>
    <w:multiLevelType w:val="hybridMultilevel"/>
    <w:tmpl w:val="3258CCD2"/>
    <w:lvl w:ilvl="0" w:tplc="95788B46">
      <w:start w:val="1"/>
      <w:numFmt w:val="decimal"/>
      <w:pStyle w:val="Listenabsatz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758AE"/>
    <w:multiLevelType w:val="hybridMultilevel"/>
    <w:tmpl w:val="C9D0E6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E27DC"/>
    <w:multiLevelType w:val="multilevel"/>
    <w:tmpl w:val="F4561AC0"/>
    <w:lvl w:ilvl="0">
      <w:start w:val="1"/>
      <w:numFmt w:val="bullet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6A6A6" w:themeColor="background1" w:themeShade="A6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hanging="284"/>
      </w:pPr>
      <w:rPr>
        <w:rFonts w:ascii="Times New Roman" w:hAnsi="Times New Roman" w:cs="Times New Roman" w:hint="default"/>
        <w:color w:val="000000" w:themeColor="text1"/>
      </w:rPr>
    </w:lvl>
    <w:lvl w:ilvl="2">
      <w:start w:val="1"/>
      <w:numFmt w:val="bullet"/>
      <w:lvlText w:val=""/>
      <w:lvlJc w:val="left"/>
      <w:pPr>
        <w:tabs>
          <w:tab w:val="num" w:pos="852"/>
        </w:tabs>
        <w:ind w:left="852" w:hanging="284"/>
      </w:pPr>
      <w:rPr>
        <w:rFonts w:ascii="Wingdings" w:hAnsi="Wingdings" w:hint="default"/>
        <w:color w:val="000000" w:themeColor="text1"/>
      </w:rPr>
    </w:lvl>
    <w:lvl w:ilvl="3">
      <w:start w:val="1"/>
      <w:numFmt w:val="bullet"/>
      <w:lvlText w:val=""/>
      <w:lvlJc w:val="left"/>
      <w:pPr>
        <w:tabs>
          <w:tab w:val="num" w:pos="1136"/>
        </w:tabs>
        <w:ind w:left="1136" w:hanging="284"/>
      </w:pPr>
      <w:rPr>
        <w:rFonts w:ascii="Wingdings" w:hAnsi="Wingdings" w:hint="default"/>
        <w:color w:val="BFBFBF" w:themeColor="background1" w:themeShade="BF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2" w15:restartNumberingAfterBreak="0">
    <w:nsid w:val="7B442012"/>
    <w:multiLevelType w:val="multilevel"/>
    <w:tmpl w:val="DD20B25A"/>
    <w:numStyleLink w:val="Nummerierung-AL"/>
  </w:abstractNum>
  <w:num w:numId="1">
    <w:abstractNumId w:val="1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4"/>
  </w:num>
  <w:num w:numId="9">
    <w:abstractNumId w:val="8"/>
  </w:num>
  <w:num w:numId="10">
    <w:abstractNumId w:val="6"/>
  </w:num>
  <w:num w:numId="11">
    <w:abstractNumId w:val="10"/>
  </w:num>
  <w:num w:numId="12">
    <w:abstractNumId w:val="12"/>
  </w:num>
  <w:num w:numId="13">
    <w:abstractNumId w:val="5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086"/>
    <w:rsid w:val="0004084A"/>
    <w:rsid w:val="00074213"/>
    <w:rsid w:val="00076D5B"/>
    <w:rsid w:val="0009076F"/>
    <w:rsid w:val="000E02BE"/>
    <w:rsid w:val="0010548C"/>
    <w:rsid w:val="001160AF"/>
    <w:rsid w:val="001243FD"/>
    <w:rsid w:val="00152E87"/>
    <w:rsid w:val="001771DA"/>
    <w:rsid w:val="00190D8C"/>
    <w:rsid w:val="00194E70"/>
    <w:rsid w:val="002040C5"/>
    <w:rsid w:val="0020759E"/>
    <w:rsid w:val="00233D26"/>
    <w:rsid w:val="002A0B02"/>
    <w:rsid w:val="002B399D"/>
    <w:rsid w:val="002F07D1"/>
    <w:rsid w:val="0032294C"/>
    <w:rsid w:val="00330EC3"/>
    <w:rsid w:val="0039049B"/>
    <w:rsid w:val="003977E6"/>
    <w:rsid w:val="003E5D1C"/>
    <w:rsid w:val="00413D26"/>
    <w:rsid w:val="004369BF"/>
    <w:rsid w:val="00446359"/>
    <w:rsid w:val="00490022"/>
    <w:rsid w:val="004A29D3"/>
    <w:rsid w:val="004A6C61"/>
    <w:rsid w:val="004C1109"/>
    <w:rsid w:val="004D7103"/>
    <w:rsid w:val="004F4722"/>
    <w:rsid w:val="00503C66"/>
    <w:rsid w:val="00531455"/>
    <w:rsid w:val="00551A8F"/>
    <w:rsid w:val="005B7D63"/>
    <w:rsid w:val="005D4339"/>
    <w:rsid w:val="005D73A9"/>
    <w:rsid w:val="005E21B4"/>
    <w:rsid w:val="005F137D"/>
    <w:rsid w:val="006104DF"/>
    <w:rsid w:val="00620447"/>
    <w:rsid w:val="00632641"/>
    <w:rsid w:val="006343F1"/>
    <w:rsid w:val="00636E5E"/>
    <w:rsid w:val="00652325"/>
    <w:rsid w:val="0066666A"/>
    <w:rsid w:val="00667907"/>
    <w:rsid w:val="006841D6"/>
    <w:rsid w:val="00691E9D"/>
    <w:rsid w:val="006A27A7"/>
    <w:rsid w:val="00701F19"/>
    <w:rsid w:val="00707AE1"/>
    <w:rsid w:val="007104F1"/>
    <w:rsid w:val="007421A9"/>
    <w:rsid w:val="007602BD"/>
    <w:rsid w:val="00774654"/>
    <w:rsid w:val="007A6E59"/>
    <w:rsid w:val="007C587E"/>
    <w:rsid w:val="007E3409"/>
    <w:rsid w:val="00801F8F"/>
    <w:rsid w:val="008021C3"/>
    <w:rsid w:val="0083183D"/>
    <w:rsid w:val="0083591F"/>
    <w:rsid w:val="008479B7"/>
    <w:rsid w:val="008579F3"/>
    <w:rsid w:val="00863B73"/>
    <w:rsid w:val="00864086"/>
    <w:rsid w:val="0086708A"/>
    <w:rsid w:val="00874702"/>
    <w:rsid w:val="00880BBC"/>
    <w:rsid w:val="008A0677"/>
    <w:rsid w:val="008D134E"/>
    <w:rsid w:val="00911385"/>
    <w:rsid w:val="0091771A"/>
    <w:rsid w:val="00993E4F"/>
    <w:rsid w:val="009A73C0"/>
    <w:rsid w:val="009D38A5"/>
    <w:rsid w:val="009E7FDE"/>
    <w:rsid w:val="009F000E"/>
    <w:rsid w:val="00A06C38"/>
    <w:rsid w:val="00A14532"/>
    <w:rsid w:val="00A329C0"/>
    <w:rsid w:val="00A47373"/>
    <w:rsid w:val="00A678E4"/>
    <w:rsid w:val="00A92554"/>
    <w:rsid w:val="00A975BF"/>
    <w:rsid w:val="00AA0CEB"/>
    <w:rsid w:val="00AC1297"/>
    <w:rsid w:val="00AC421F"/>
    <w:rsid w:val="00AE2A6E"/>
    <w:rsid w:val="00B11592"/>
    <w:rsid w:val="00B122EB"/>
    <w:rsid w:val="00B71C6E"/>
    <w:rsid w:val="00BA0286"/>
    <w:rsid w:val="00BD7278"/>
    <w:rsid w:val="00C14CC7"/>
    <w:rsid w:val="00C43D98"/>
    <w:rsid w:val="00C666DC"/>
    <w:rsid w:val="00C71CD0"/>
    <w:rsid w:val="00CA23B0"/>
    <w:rsid w:val="00CA445B"/>
    <w:rsid w:val="00CC1DB3"/>
    <w:rsid w:val="00CC7AEE"/>
    <w:rsid w:val="00CE4849"/>
    <w:rsid w:val="00CF1386"/>
    <w:rsid w:val="00CF5577"/>
    <w:rsid w:val="00D30C7F"/>
    <w:rsid w:val="00D8370B"/>
    <w:rsid w:val="00DA0591"/>
    <w:rsid w:val="00DB0496"/>
    <w:rsid w:val="00DB3F0B"/>
    <w:rsid w:val="00DB56E4"/>
    <w:rsid w:val="00DE684A"/>
    <w:rsid w:val="00E3300C"/>
    <w:rsid w:val="00E74022"/>
    <w:rsid w:val="00E775BE"/>
    <w:rsid w:val="00EF408E"/>
    <w:rsid w:val="00EF646D"/>
    <w:rsid w:val="00F0695F"/>
    <w:rsid w:val="00F77916"/>
    <w:rsid w:val="00F80416"/>
    <w:rsid w:val="00FB308E"/>
    <w:rsid w:val="00FB6BCE"/>
    <w:rsid w:val="00FB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lang w:val="de-DE" w:eastAsia="de-DE" w:bidi="ar-SA"/>
      </w:rPr>
    </w:rPrDefault>
    <w:pPrDefault>
      <w:pPr>
        <w:ind w:left="357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aliases w:val="Standard 12"/>
    <w:qFormat/>
    <w:rsid w:val="0083591F"/>
    <w:pPr>
      <w:ind w:left="0" w:firstLine="0"/>
    </w:pPr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1160AF"/>
    <w:pPr>
      <w:keepNext/>
      <w:numPr>
        <w:numId w:val="7"/>
      </w:numPr>
      <w:spacing w:before="240" w:after="60" w:line="280" w:lineRule="exact"/>
      <w:ind w:left="851" w:hanging="851"/>
      <w:outlineLvl w:val="0"/>
    </w:pPr>
    <w:rPr>
      <w:b/>
      <w:bCs/>
      <w:color w:val="B11A3B"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1160AF"/>
    <w:pPr>
      <w:widowControl w:val="0"/>
      <w:numPr>
        <w:ilvl w:val="1"/>
        <w:numId w:val="7"/>
      </w:numPr>
      <w:spacing w:before="240" w:after="60" w:line="280" w:lineRule="exact"/>
      <w:ind w:left="851" w:hanging="851"/>
      <w:outlineLvl w:val="1"/>
    </w:pPr>
    <w:rPr>
      <w:b/>
      <w:bCs/>
      <w:iCs/>
      <w:color w:val="B11A3B"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1160AF"/>
    <w:pPr>
      <w:keepNext/>
      <w:numPr>
        <w:ilvl w:val="2"/>
        <w:numId w:val="7"/>
      </w:numPr>
      <w:spacing w:before="240" w:after="60" w:line="280" w:lineRule="exact"/>
      <w:ind w:left="851" w:hanging="851"/>
      <w:outlineLvl w:val="2"/>
    </w:pPr>
    <w:rPr>
      <w:b/>
      <w:bCs/>
      <w:color w:val="B11A3B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1160AF"/>
    <w:pPr>
      <w:keepNext/>
      <w:numPr>
        <w:ilvl w:val="3"/>
        <w:numId w:val="7"/>
      </w:numPr>
      <w:spacing w:before="240" w:after="60" w:line="280" w:lineRule="exact"/>
      <w:ind w:left="851" w:hanging="851"/>
      <w:outlineLvl w:val="3"/>
    </w:pPr>
    <w:rPr>
      <w:b/>
      <w:color w:val="B11D38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0286"/>
    <w:pPr>
      <w:numPr>
        <w:ilvl w:val="4"/>
        <w:numId w:val="7"/>
      </w:numPr>
      <w:spacing w:before="240" w:after="60"/>
      <w:outlineLvl w:val="4"/>
    </w:pPr>
    <w:rPr>
      <w:rFonts w:ascii="Arial" w:hAnsi="Arial"/>
      <w:sz w:val="22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0286"/>
    <w:pPr>
      <w:numPr>
        <w:ilvl w:val="5"/>
        <w:numId w:val="7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0286"/>
    <w:pPr>
      <w:numPr>
        <w:ilvl w:val="6"/>
        <w:numId w:val="7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0286"/>
    <w:pPr>
      <w:numPr>
        <w:ilvl w:val="7"/>
        <w:numId w:val="7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0286"/>
    <w:pPr>
      <w:numPr>
        <w:ilvl w:val="8"/>
        <w:numId w:val="7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160AF"/>
    <w:rPr>
      <w:b/>
      <w:bCs/>
      <w:color w:val="B11A3B"/>
      <w:kern w:val="32"/>
      <w:sz w:val="32"/>
      <w:szCs w:val="32"/>
    </w:rPr>
  </w:style>
  <w:style w:type="paragraph" w:styleId="Listenabsatz">
    <w:name w:val="List Paragraph"/>
    <w:basedOn w:val="Standard"/>
    <w:uiPriority w:val="34"/>
    <w:qFormat/>
    <w:rsid w:val="00A975BF"/>
    <w:pPr>
      <w:numPr>
        <w:numId w:val="6"/>
      </w:numPr>
      <w:ind w:left="357" w:hanging="357"/>
      <w:contextualSpacing/>
    </w:pPr>
  </w:style>
  <w:style w:type="paragraph" w:styleId="Liste">
    <w:name w:val="List"/>
    <w:basedOn w:val="Standard"/>
    <w:uiPriority w:val="99"/>
    <w:unhideWhenUsed/>
    <w:rsid w:val="005F137D"/>
    <w:pPr>
      <w:ind w:left="283" w:hanging="283"/>
      <w:contextualSpacing/>
    </w:pPr>
  </w:style>
  <w:style w:type="paragraph" w:styleId="Liste20">
    <w:name w:val="List 2"/>
    <w:basedOn w:val="Standard"/>
    <w:uiPriority w:val="99"/>
    <w:unhideWhenUsed/>
    <w:rsid w:val="005F137D"/>
    <w:pPr>
      <w:ind w:left="566" w:hanging="283"/>
      <w:contextualSpacing/>
    </w:pPr>
  </w:style>
  <w:style w:type="paragraph" w:styleId="Liste30">
    <w:name w:val="List 3"/>
    <w:basedOn w:val="Standard"/>
    <w:uiPriority w:val="99"/>
    <w:unhideWhenUsed/>
    <w:rsid w:val="005F137D"/>
    <w:pPr>
      <w:ind w:left="849" w:hanging="283"/>
      <w:contextualSpacing/>
    </w:pPr>
  </w:style>
  <w:style w:type="paragraph" w:styleId="Liste5">
    <w:name w:val="List 5"/>
    <w:basedOn w:val="Standard"/>
    <w:uiPriority w:val="99"/>
    <w:unhideWhenUsed/>
    <w:rsid w:val="005F137D"/>
    <w:pPr>
      <w:ind w:left="1415" w:hanging="283"/>
      <w:contextualSpacing/>
    </w:pPr>
  </w:style>
  <w:style w:type="paragraph" w:styleId="Aufzhlungszeichen">
    <w:name w:val="List Bullet"/>
    <w:basedOn w:val="Standard"/>
    <w:uiPriority w:val="99"/>
    <w:unhideWhenUsed/>
    <w:rsid w:val="005F137D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5F137D"/>
    <w:pPr>
      <w:numPr>
        <w:numId w:val="3"/>
      </w:numPr>
      <w:contextualSpacing/>
      <w:outlineLvl w:val="0"/>
    </w:pPr>
  </w:style>
  <w:style w:type="paragraph" w:styleId="Aufzhlungszeichen3">
    <w:name w:val="List Bullet 3"/>
    <w:basedOn w:val="Standard"/>
    <w:uiPriority w:val="99"/>
    <w:unhideWhenUsed/>
    <w:rsid w:val="005F137D"/>
    <w:pPr>
      <w:numPr>
        <w:numId w:val="4"/>
      </w:numPr>
    </w:pPr>
  </w:style>
  <w:style w:type="paragraph" w:styleId="Aufzhlungszeichen4">
    <w:name w:val="List Bullet 4"/>
    <w:basedOn w:val="Standard"/>
    <w:uiPriority w:val="99"/>
    <w:unhideWhenUsed/>
    <w:rsid w:val="005F137D"/>
    <w:pPr>
      <w:numPr>
        <w:numId w:val="5"/>
      </w:numPr>
      <w:contextualSpacing/>
      <w:outlineLvl w:val="2"/>
    </w:pPr>
  </w:style>
  <w:style w:type="character" w:styleId="Hyperlink">
    <w:name w:val="Hyperlink"/>
    <w:basedOn w:val="Absatz-Standardschriftart"/>
    <w:uiPriority w:val="99"/>
    <w:unhideWhenUsed/>
    <w:rsid w:val="005F137D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F137D"/>
    <w:rPr>
      <w:color w:val="77C3DF"/>
      <w:u w:val="single"/>
    </w:rPr>
  </w:style>
  <w:style w:type="table" w:customStyle="1" w:styleId="Alte-Leipziger1">
    <w:name w:val="Alte-Leipziger1"/>
    <w:basedOn w:val="NormaleTabelle"/>
    <w:uiPriority w:val="99"/>
    <w:rsid w:val="00A47373"/>
    <w:rPr>
      <w:sz w:val="24"/>
    </w:rPr>
    <w:tblPr>
      <w:tblBorders>
        <w:bottom w:val="single" w:sz="8" w:space="0" w:color="B11A3B" w:themeColor="accent1"/>
        <w:insideH w:val="single" w:sz="4" w:space="0" w:color="B6E2F6" w:themeColor="accent3"/>
        <w:insideV w:val="single" w:sz="8" w:space="0" w:color="B11A3B" w:themeColor="accent1"/>
      </w:tblBorders>
    </w:tblPr>
    <w:tblStylePr w:type="firstRow">
      <w:tblPr/>
      <w:tcPr>
        <w:tcBorders>
          <w:bottom w:val="single" w:sz="8" w:space="0" w:color="B11A3B" w:themeColor="accent1"/>
        </w:tcBorders>
        <w:shd w:val="clear" w:color="auto" w:fill="B6E2F6" w:themeFill="accent3"/>
      </w:tcPr>
    </w:tblStylePr>
    <w:tblStylePr w:type="lastRow">
      <w:rPr>
        <w:color w:val="auto"/>
      </w:rPr>
      <w:tblPr/>
      <w:tcPr>
        <w:tcBorders>
          <w:top w:val="single" w:sz="8" w:space="0" w:color="FFFFFF" w:themeColor="background1"/>
        </w:tcBorders>
        <w:shd w:val="clear" w:color="auto" w:fill="B6E2F6" w:themeFill="accent3"/>
      </w:tcPr>
    </w:tblStylePr>
    <w:tblStylePr w:type="firstCol">
      <w:tblPr/>
      <w:tcPr>
        <w:tcBorders>
          <w:right w:val="single" w:sz="12" w:space="0" w:color="FFFFFF" w:themeColor="background1"/>
          <w:insideH w:val="single" w:sz="12" w:space="0" w:color="FFFFFF" w:themeColor="background1"/>
          <w:insideV w:val="nil"/>
        </w:tcBorders>
        <w:shd w:val="clear" w:color="auto" w:fill="B6E2F6" w:themeFill="accent3"/>
      </w:tcPr>
    </w:tblStylePr>
    <w:tblStylePr w:type="lastCol">
      <w:tblPr/>
      <w:tcPr>
        <w:tcBorders>
          <w:left w:val="single" w:sz="12" w:space="0" w:color="FFFFFF" w:themeColor="background1"/>
          <w:insideH w:val="single" w:sz="12" w:space="0" w:color="FFFFFF" w:themeColor="background1"/>
        </w:tcBorders>
        <w:shd w:val="clear" w:color="auto" w:fill="B6E2F6" w:themeFill="accent3"/>
      </w:tcPr>
    </w:tblStylePr>
  </w:style>
  <w:style w:type="paragraph" w:styleId="Titel">
    <w:name w:val="Title"/>
    <w:basedOn w:val="Standard"/>
    <w:next w:val="Standard"/>
    <w:link w:val="TitelZchn"/>
    <w:uiPriority w:val="10"/>
    <w:rsid w:val="001771DA"/>
    <w:pPr>
      <w:pBdr>
        <w:bottom w:val="single" w:sz="8" w:space="4" w:color="B11A3B" w:themeColor="accent1"/>
      </w:pBdr>
      <w:spacing w:after="300"/>
      <w:contextualSpacing/>
    </w:pPr>
    <w:rPr>
      <w:rFonts w:asciiTheme="majorHAnsi" w:eastAsiaTheme="majorEastAsia" w:hAnsiTheme="majorHAnsi" w:cstheme="majorBidi"/>
      <w:color w:val="072D43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771DA"/>
    <w:rPr>
      <w:rFonts w:asciiTheme="majorHAnsi" w:eastAsiaTheme="majorEastAsia" w:hAnsiTheme="majorHAnsi" w:cstheme="majorBidi"/>
      <w:color w:val="072D43" w:themeColor="text2" w:themeShade="BF"/>
      <w:spacing w:val="5"/>
      <w:kern w:val="28"/>
      <w:sz w:val="52"/>
      <w:szCs w:val="52"/>
    </w:rPr>
  </w:style>
  <w:style w:type="character" w:styleId="Platzhaltertext">
    <w:name w:val="Placeholder Text"/>
    <w:basedOn w:val="Absatz-Standardschriftart"/>
    <w:uiPriority w:val="99"/>
    <w:semiHidden/>
    <w:rsid w:val="001771DA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71D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71DA"/>
    <w:rPr>
      <w:rFonts w:ascii="Tahoma" w:hAnsi="Tahoma" w:cs="Tahoma"/>
      <w:sz w:val="16"/>
      <w:szCs w:val="16"/>
    </w:rPr>
  </w:style>
  <w:style w:type="paragraph" w:styleId="KeinLeerraum">
    <w:name w:val="No Spacing"/>
    <w:link w:val="KeinLeerraumZchn"/>
    <w:uiPriority w:val="1"/>
    <w:qFormat/>
    <w:rsid w:val="00C43D98"/>
    <w:rPr>
      <w:rFonts w:eastAsiaTheme="minorEastAsia"/>
      <w:sz w:val="24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C43D98"/>
    <w:rPr>
      <w:rFonts w:eastAsiaTheme="minorEastAsia"/>
      <w:sz w:val="24"/>
    </w:rPr>
  </w:style>
  <w:style w:type="table" w:styleId="Tabellenraster">
    <w:name w:val="Table Grid"/>
    <w:basedOn w:val="NormaleTabelle"/>
    <w:uiPriority w:val="59"/>
    <w:rsid w:val="00774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1"/>
    <w:basedOn w:val="Listenabsatz"/>
    <w:link w:val="Liste1Zchn"/>
    <w:autoRedefine/>
    <w:uiPriority w:val="9"/>
    <w:qFormat/>
    <w:rsid w:val="002F07D1"/>
    <w:pPr>
      <w:numPr>
        <w:numId w:val="10"/>
      </w:numPr>
      <w:spacing w:after="30" w:line="264" w:lineRule="auto"/>
    </w:pPr>
    <w:rPr>
      <w:rFonts w:eastAsiaTheme="minorHAnsi"/>
      <w:lang w:eastAsia="en-US"/>
    </w:rPr>
  </w:style>
  <w:style w:type="character" w:customStyle="1" w:styleId="Liste1Zchn">
    <w:name w:val="Liste1 Zchn"/>
    <w:basedOn w:val="Absatz-Standardschriftart"/>
    <w:link w:val="Liste1"/>
    <w:uiPriority w:val="9"/>
    <w:rsid w:val="002F07D1"/>
    <w:rPr>
      <w:rFonts w:eastAsiaTheme="minorHAnsi"/>
      <w:sz w:val="24"/>
      <w:lang w:eastAsia="en-US"/>
    </w:rPr>
  </w:style>
  <w:style w:type="paragraph" w:customStyle="1" w:styleId="Liste2">
    <w:name w:val="Liste2"/>
    <w:basedOn w:val="Liste1"/>
    <w:link w:val="Liste2Zchn"/>
    <w:autoRedefine/>
    <w:uiPriority w:val="9"/>
    <w:qFormat/>
    <w:rsid w:val="00652325"/>
    <w:pPr>
      <w:numPr>
        <w:ilvl w:val="1"/>
      </w:numPr>
    </w:pPr>
  </w:style>
  <w:style w:type="character" w:customStyle="1" w:styleId="Liste2Zchn">
    <w:name w:val="Liste2 Zchn"/>
    <w:basedOn w:val="Liste1Zchn"/>
    <w:link w:val="Liste2"/>
    <w:uiPriority w:val="9"/>
    <w:rsid w:val="00652325"/>
    <w:rPr>
      <w:rFonts w:eastAsiaTheme="minorHAnsi"/>
      <w:sz w:val="24"/>
      <w:lang w:eastAsia="en-US"/>
    </w:rPr>
  </w:style>
  <w:style w:type="paragraph" w:customStyle="1" w:styleId="Liste3">
    <w:name w:val="Liste3"/>
    <w:basedOn w:val="Liste2"/>
    <w:link w:val="Liste3Zchn"/>
    <w:autoRedefine/>
    <w:uiPriority w:val="9"/>
    <w:qFormat/>
    <w:rsid w:val="005D73A9"/>
    <w:pPr>
      <w:numPr>
        <w:ilvl w:val="2"/>
      </w:numPr>
    </w:pPr>
  </w:style>
  <w:style w:type="character" w:customStyle="1" w:styleId="Liste3Zchn">
    <w:name w:val="Liste3 Zchn"/>
    <w:basedOn w:val="Liste2Zchn"/>
    <w:link w:val="Liste3"/>
    <w:uiPriority w:val="9"/>
    <w:rsid w:val="005D73A9"/>
    <w:rPr>
      <w:rFonts w:eastAsiaTheme="minorHAnsi"/>
      <w:sz w:val="24"/>
      <w:lang w:eastAsia="en-US"/>
    </w:rPr>
  </w:style>
  <w:style w:type="paragraph" w:customStyle="1" w:styleId="Liste4">
    <w:name w:val="Liste4"/>
    <w:basedOn w:val="Liste3"/>
    <w:link w:val="Liste4Zchn"/>
    <w:autoRedefine/>
    <w:uiPriority w:val="9"/>
    <w:qFormat/>
    <w:rsid w:val="005D73A9"/>
    <w:pPr>
      <w:numPr>
        <w:ilvl w:val="3"/>
      </w:numPr>
    </w:pPr>
  </w:style>
  <w:style w:type="character" w:customStyle="1" w:styleId="Liste4Zchn">
    <w:name w:val="Liste4 Zchn"/>
    <w:basedOn w:val="Liste3Zchn"/>
    <w:link w:val="Liste4"/>
    <w:uiPriority w:val="9"/>
    <w:rsid w:val="005D73A9"/>
    <w:rPr>
      <w:rFonts w:eastAsiaTheme="minorHAnsi"/>
      <w:sz w:val="24"/>
      <w:lang w:eastAsia="en-US"/>
    </w:rPr>
  </w:style>
  <w:style w:type="paragraph" w:customStyle="1" w:styleId="Flietext">
    <w:name w:val="Fließtext"/>
    <w:qFormat/>
    <w:rsid w:val="0009076F"/>
    <w:pPr>
      <w:spacing w:line="280" w:lineRule="exact"/>
    </w:pPr>
    <w:rPr>
      <w:rFonts w:ascii="Times New Roman" w:hAnsi="Times New Roman" w:cs="Times New Roman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3E5D1C"/>
    <w:pPr>
      <w:tabs>
        <w:tab w:val="right" w:leader="dot" w:pos="9911"/>
      </w:tabs>
      <w:spacing w:after="100"/>
      <w:ind w:left="284" w:hanging="284"/>
    </w:pPr>
    <w:rPr>
      <w:noProof/>
    </w:rPr>
  </w:style>
  <w:style w:type="character" w:customStyle="1" w:styleId="berschrift2Zchn">
    <w:name w:val="Überschrift 2 Zchn"/>
    <w:basedOn w:val="Absatz-Standardschriftart"/>
    <w:link w:val="berschrift2"/>
    <w:rsid w:val="001160AF"/>
    <w:rPr>
      <w:b/>
      <w:bCs/>
      <w:iCs/>
      <w:color w:val="B11A3B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1160AF"/>
    <w:rPr>
      <w:b/>
      <w:bCs/>
      <w:color w:val="B11A3B"/>
      <w:sz w:val="24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1160AF"/>
    <w:rPr>
      <w:b/>
      <w:color w:val="B11D38"/>
      <w:sz w:val="24"/>
    </w:rPr>
  </w:style>
  <w:style w:type="character" w:customStyle="1" w:styleId="berschrift5Zchn">
    <w:name w:val="Überschrift 5 Zchn"/>
    <w:basedOn w:val="Absatz-Standardschriftart"/>
    <w:link w:val="berschrift5"/>
    <w:semiHidden/>
    <w:rsid w:val="00BA0286"/>
    <w:rPr>
      <w:rFonts w:ascii="Arial" w:hAnsi="Arial"/>
      <w:sz w:val="22"/>
    </w:rPr>
  </w:style>
  <w:style w:type="character" w:customStyle="1" w:styleId="berschrift6Zchn">
    <w:name w:val="Überschrift 6 Zchn"/>
    <w:basedOn w:val="Absatz-Standardschriftart"/>
    <w:link w:val="berschrift6"/>
    <w:semiHidden/>
    <w:rsid w:val="00BA0286"/>
    <w:rPr>
      <w:i/>
      <w:sz w:val="22"/>
    </w:rPr>
  </w:style>
  <w:style w:type="character" w:customStyle="1" w:styleId="berschrift7Zchn">
    <w:name w:val="Überschrift 7 Zchn"/>
    <w:basedOn w:val="Absatz-Standardschriftart"/>
    <w:link w:val="berschrift7"/>
    <w:semiHidden/>
    <w:rsid w:val="00BA0286"/>
    <w:rPr>
      <w:rFonts w:ascii="Arial" w:hAnsi="Arial"/>
      <w:sz w:val="24"/>
    </w:rPr>
  </w:style>
  <w:style w:type="character" w:customStyle="1" w:styleId="berschrift8Zchn">
    <w:name w:val="Überschrift 8 Zchn"/>
    <w:basedOn w:val="Absatz-Standardschriftart"/>
    <w:link w:val="berschrift8"/>
    <w:semiHidden/>
    <w:rsid w:val="00BA0286"/>
    <w:rPr>
      <w:rFonts w:ascii="Arial" w:hAnsi="Arial"/>
      <w:i/>
      <w:sz w:val="24"/>
    </w:rPr>
  </w:style>
  <w:style w:type="character" w:customStyle="1" w:styleId="berschrift9Zchn">
    <w:name w:val="Überschrift 9 Zchn"/>
    <w:basedOn w:val="Absatz-Standardschriftart"/>
    <w:link w:val="berschrift9"/>
    <w:semiHidden/>
    <w:rsid w:val="00BA0286"/>
    <w:rPr>
      <w:rFonts w:ascii="Arial" w:hAnsi="Arial"/>
      <w:b/>
      <w:i/>
      <w:sz w:val="18"/>
    </w:rPr>
  </w:style>
  <w:style w:type="paragraph" w:customStyle="1" w:styleId="Standard10Fett">
    <w:name w:val="Standard 10 Fett"/>
    <w:basedOn w:val="Standard10"/>
    <w:link w:val="Standard10FettZchn"/>
    <w:qFormat/>
    <w:rsid w:val="00BA0286"/>
    <w:rPr>
      <w:b/>
    </w:rPr>
  </w:style>
  <w:style w:type="paragraph" w:customStyle="1" w:styleId="Standard10">
    <w:name w:val="Standard 10"/>
    <w:basedOn w:val="Standard"/>
    <w:link w:val="Standard10Zchn"/>
    <w:qFormat/>
    <w:rsid w:val="00874702"/>
    <w:rPr>
      <w:sz w:val="20"/>
    </w:rPr>
  </w:style>
  <w:style w:type="character" w:customStyle="1" w:styleId="Standard10FettZchn">
    <w:name w:val="Standard 10 Fett Zchn"/>
    <w:basedOn w:val="Absatz-Standardschriftart"/>
    <w:link w:val="Standard10Fett"/>
    <w:rsid w:val="00076D5B"/>
    <w:rPr>
      <w:b/>
    </w:rPr>
  </w:style>
  <w:style w:type="paragraph" w:customStyle="1" w:styleId="Standard12Fett">
    <w:name w:val="Standard 12 Fett"/>
    <w:basedOn w:val="Standard"/>
    <w:link w:val="Standard12FettZchn"/>
    <w:qFormat/>
    <w:rsid w:val="00076D5B"/>
    <w:rPr>
      <w:b/>
    </w:rPr>
  </w:style>
  <w:style w:type="character" w:customStyle="1" w:styleId="Standard10Zchn">
    <w:name w:val="Standard 10 Zchn"/>
    <w:basedOn w:val="Absatz-Standardschriftart"/>
    <w:link w:val="Standard10"/>
    <w:rsid w:val="00874702"/>
  </w:style>
  <w:style w:type="character" w:customStyle="1" w:styleId="Standard12FettZchn">
    <w:name w:val="Standard 12 Fett Zchn"/>
    <w:basedOn w:val="Standard10Zchn"/>
    <w:link w:val="Standard12Fett"/>
    <w:rsid w:val="00076D5B"/>
    <w:rPr>
      <w:b/>
      <w:sz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B399D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84132B" w:themeColor="accent1" w:themeShade="BF"/>
      <w:kern w:val="0"/>
      <w:sz w:val="28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7E3409"/>
    <w:pPr>
      <w:tabs>
        <w:tab w:val="left" w:pos="737"/>
        <w:tab w:val="right" w:leader="dot" w:pos="9911"/>
      </w:tabs>
      <w:spacing w:after="100"/>
      <w:ind w:left="738" w:hanging="454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5B7D63"/>
    <w:pPr>
      <w:tabs>
        <w:tab w:val="left" w:pos="1361"/>
        <w:tab w:val="right" w:leader="dot" w:pos="9911"/>
      </w:tabs>
      <w:spacing w:after="100"/>
      <w:ind w:left="1361" w:hanging="624"/>
    </w:pPr>
    <w:rPr>
      <w:noProof/>
    </w:rPr>
  </w:style>
  <w:style w:type="paragraph" w:styleId="Verzeichnis4">
    <w:name w:val="toc 4"/>
    <w:basedOn w:val="Standard"/>
    <w:next w:val="Standard"/>
    <w:autoRedefine/>
    <w:uiPriority w:val="39"/>
    <w:unhideWhenUsed/>
    <w:rsid w:val="005B7D63"/>
    <w:pPr>
      <w:tabs>
        <w:tab w:val="left" w:pos="2211"/>
        <w:tab w:val="right" w:leader="dot" w:pos="9911"/>
      </w:tabs>
      <w:spacing w:after="100"/>
      <w:ind w:left="2212" w:hanging="851"/>
    </w:pPr>
    <w:rPr>
      <w:noProof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74702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74702"/>
  </w:style>
  <w:style w:type="character" w:styleId="Funotenzeichen">
    <w:name w:val="footnote reference"/>
    <w:basedOn w:val="Absatz-Standardschriftart"/>
    <w:uiPriority w:val="99"/>
    <w:semiHidden/>
    <w:unhideWhenUsed/>
    <w:rsid w:val="00874702"/>
    <w:rPr>
      <w:vertAlign w:val="superscript"/>
    </w:rPr>
  </w:style>
  <w:style w:type="numbering" w:customStyle="1" w:styleId="Nummerierung-AL">
    <w:name w:val="Nummerierung-AL"/>
    <w:uiPriority w:val="99"/>
    <w:rsid w:val="005E21B4"/>
    <w:pPr>
      <w:numPr>
        <w:numId w:val="8"/>
      </w:numPr>
    </w:pPr>
  </w:style>
  <w:style w:type="numbering" w:customStyle="1" w:styleId="Liste-AL">
    <w:name w:val="Liste-AL"/>
    <w:uiPriority w:val="99"/>
    <w:rsid w:val="002F07D1"/>
    <w:pPr>
      <w:numPr>
        <w:numId w:val="9"/>
      </w:numPr>
    </w:pPr>
  </w:style>
  <w:style w:type="paragraph" w:styleId="Kopfzeile">
    <w:name w:val="header"/>
    <w:basedOn w:val="Standard"/>
    <w:link w:val="KopfzeileZchn"/>
    <w:uiPriority w:val="99"/>
    <w:unhideWhenUsed/>
    <w:rsid w:val="0039049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9049B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9049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049B"/>
    <w:rPr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4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yperlink" Target="https://www.news-al-h.de/-link2/15180/523/13/13/1/k61CScZ3/TlWwIznPWF/0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s://www.news-al-h.de/-link2/15180/523/9/9/1/k61CScZ3/TlWwIznPWF/0" TargetMode="External"/><Relationship Id="rId25" Type="http://schemas.openxmlformats.org/officeDocument/2006/relationships/hyperlink" Target="https://www.news-al-h.de/-link2/15180/523/17/17/1/k61CScZ3/TlWwIznPWF/0" TargetMode="External"/><Relationship Id="rId33" Type="http://schemas.openxmlformats.org/officeDocument/2006/relationships/hyperlink" Target="https://www.news-al-h.de/-optout-test/15180/523/2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9.png"/><Relationship Id="rId29" Type="http://schemas.openxmlformats.org/officeDocument/2006/relationships/hyperlink" Target="https://www.news-al-h.de/-link2/15180/523/21/21/1/k61CScZ3/TlWwIznPWF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ews-al-h.de/-link2/15180/523/7/5/1/k61CScZ3/TlWwIznPWF/0" TargetMode="External"/><Relationship Id="rId24" Type="http://schemas.openxmlformats.org/officeDocument/2006/relationships/image" Target="media/image11.png"/><Relationship Id="rId32" Type="http://schemas.openxmlformats.org/officeDocument/2006/relationships/hyperlink" Target="mailto:service@hallesche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ews-al-h.de/-link2/15180/523/1/7/1/k61CScZ3/TlWwIznPWF/0" TargetMode="External"/><Relationship Id="rId23" Type="http://schemas.openxmlformats.org/officeDocument/2006/relationships/hyperlink" Target="https://www.news-al-h.de/-link2/15180/523/15/15/1/k61CScZ3/TlWwIznPWF/0" TargetMode="External"/><Relationship Id="rId28" Type="http://schemas.openxmlformats.org/officeDocument/2006/relationships/image" Target="media/image13.png"/><Relationship Id="rId10" Type="http://schemas.openxmlformats.org/officeDocument/2006/relationships/image" Target="media/image3.png"/><Relationship Id="rId19" Type="http://schemas.openxmlformats.org/officeDocument/2006/relationships/hyperlink" Target="https://www.news-al-h.de/-link2/15180/523/11/11/1/k61CScZ3/TlWwIznPWF/0" TargetMode="External"/><Relationship Id="rId31" Type="http://schemas.openxmlformats.org/officeDocument/2006/relationships/hyperlink" Target="https://www.news-al-h.de/-link2/15180/523/23/23/1/k61CScZ3/TlWwIznPWF/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hyperlink" Target="https://www.news-al-h.de/-link2/15180/523/19/19/1/k61CScZ3/TlWwIznPWF/0" TargetMode="External"/><Relationship Id="rId30" Type="http://schemas.openxmlformats.org/officeDocument/2006/relationships/hyperlink" Target="mailto:service@alte-leipziger.de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LTE LEIPZIGER Office-Design 10.10.2012">
  <a:themeElements>
    <a:clrScheme name="ALTE LEIPZIGER">
      <a:dk1>
        <a:sysClr val="windowText" lastClr="000000"/>
      </a:dk1>
      <a:lt1>
        <a:sysClr val="window" lastClr="FFFFFF"/>
      </a:lt1>
      <a:dk2>
        <a:srgbClr val="0A3D5A"/>
      </a:dk2>
      <a:lt2>
        <a:srgbClr val="FFFFFF"/>
      </a:lt2>
      <a:accent1>
        <a:srgbClr val="B11A3B"/>
      </a:accent1>
      <a:accent2>
        <a:srgbClr val="E23E21"/>
      </a:accent2>
      <a:accent3>
        <a:srgbClr val="B6E2F6"/>
      </a:accent3>
      <a:accent4>
        <a:srgbClr val="77C3DF"/>
      </a:accent4>
      <a:accent5>
        <a:srgbClr val="4E97BE"/>
      </a:accent5>
      <a:accent6>
        <a:srgbClr val="2E77A1"/>
      </a:accent6>
      <a:hlink>
        <a:srgbClr val="0D5379"/>
      </a:hlink>
      <a:folHlink>
        <a:srgbClr val="0A3D5A"/>
      </a:folHlink>
    </a:clrScheme>
    <a:fontScheme name="ALTE LEIPZIGER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imos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55000" cap="flat" cmpd="thickThin" algn="ctr">
          <a:solidFill>
            <a:schemeClr val="phClr"/>
          </a:solidFill>
          <a:prstDash val="solid"/>
        </a:ln>
        <a:ln w="63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 w="12700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rgbClr val="B6E2F6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0" tIns="0" rIns="0" bIns="0" numCol="1" rtlCol="0" anchor="t" anchorCtr="0" compatLnSpc="1">
        <a:prstTxWarp prst="textNoShape">
          <a:avLst/>
        </a:prstTxWarp>
      </a:bodyPr>
      <a:lstStyle/>
    </a:spDef>
    <a:lnDef>
      <a:spPr bwMode="auto">
        <a:ln>
          <a:tailEnd type="none"/>
        </a:ln>
        <a:extLst/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>
    <a:extraClrScheme>
      <a:clrScheme name="ALTE LEIPZIGER">
        <a:dk1>
          <a:srgbClr val="000000"/>
        </a:dk1>
        <a:lt1>
          <a:srgbClr val="FFFFFF"/>
        </a:lt1>
        <a:dk2>
          <a:srgbClr val="0A3D5A"/>
        </a:dk2>
        <a:lt2>
          <a:srgbClr val="FFFFFF"/>
        </a:lt2>
        <a:accent1>
          <a:srgbClr val="B11A3B"/>
        </a:accent1>
        <a:accent2>
          <a:srgbClr val="E23E21"/>
        </a:accent2>
        <a:accent3>
          <a:srgbClr val="B6E2F6"/>
        </a:accent3>
        <a:accent4>
          <a:srgbClr val="77C3DF"/>
        </a:accent4>
        <a:accent5>
          <a:srgbClr val="4E97BE"/>
        </a:accent5>
        <a:accent6>
          <a:srgbClr val="2E77A1"/>
        </a:accent6>
        <a:hlink>
          <a:srgbClr val="0D5379"/>
        </a:hlink>
        <a:folHlink>
          <a:srgbClr val="0A3D5A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1D3E8-93E1-4625-A294-CFB917991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AA99185C.dotm</Template>
  <TotalTime>0</TotalTime>
  <Pages>3</Pages>
  <Words>811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2020-09-14T14:39:00Z</dcterms:created>
  <dcterms:modified xsi:type="dcterms:W3CDTF">2020-09-14T14:40:00Z</dcterms:modified>
</cp:coreProperties>
</file>